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F6B4"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b/>
          <w:bCs/>
          <w:sz w:val="24"/>
          <w:szCs w:val="24"/>
        </w:rPr>
        <w:t>COMUNE DI ……………………………………</w:t>
      </w:r>
    </w:p>
    <w:p w14:paraId="17D91728"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b/>
          <w:bCs/>
          <w:sz w:val="24"/>
          <w:szCs w:val="24"/>
        </w:rPr>
        <w:t>(Provincia di ………………………………)</w:t>
      </w:r>
    </w:p>
    <w:p w14:paraId="7E5A231B"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sz w:val="24"/>
          <w:szCs w:val="24"/>
        </w:rPr>
        <w:t>————————————————————————————</w:t>
      </w:r>
    </w:p>
    <w:p w14:paraId="6301D13F" w14:textId="77777777" w:rsidR="004C7FC1" w:rsidRPr="002E2404" w:rsidRDefault="002A5745">
      <w:pPr>
        <w:spacing w:after="40"/>
        <w:jc w:val="center"/>
        <w:rPr>
          <w:rFonts w:ascii="Times New Roman" w:hAnsi="Times New Roman" w:cs="Times New Roman"/>
          <w:sz w:val="24"/>
          <w:szCs w:val="24"/>
        </w:rPr>
      </w:pPr>
      <w:r w:rsidRPr="002E2404">
        <w:rPr>
          <w:rFonts w:ascii="Times New Roman" w:hAnsi="Times New Roman" w:cs="Times New Roman"/>
          <w:b/>
          <w:bCs/>
          <w:sz w:val="24"/>
          <w:szCs w:val="24"/>
        </w:rPr>
        <w:t>CONSIGLIO COMUNALE</w:t>
      </w:r>
    </w:p>
    <w:p w14:paraId="57C54343" w14:textId="77777777" w:rsidR="004C7FC1" w:rsidRPr="002E2404" w:rsidRDefault="002A5745">
      <w:pPr>
        <w:spacing w:after="200"/>
        <w:jc w:val="center"/>
        <w:rPr>
          <w:rFonts w:ascii="Times New Roman" w:hAnsi="Times New Roman" w:cs="Times New Roman"/>
          <w:sz w:val="24"/>
          <w:szCs w:val="24"/>
        </w:rPr>
      </w:pPr>
      <w:r w:rsidRPr="002E2404">
        <w:rPr>
          <w:rFonts w:ascii="Times New Roman" w:hAnsi="Times New Roman" w:cs="Times New Roman"/>
          <w:b/>
          <w:bCs/>
          <w:sz w:val="24"/>
          <w:szCs w:val="24"/>
        </w:rPr>
        <w:t>Deliberazione n. …… del ……………… 2026</w:t>
      </w:r>
    </w:p>
    <w:p w14:paraId="45B25853" w14:textId="77777777" w:rsidR="004C7FC1" w:rsidRPr="002E2404" w:rsidRDefault="002A5745">
      <w:pPr>
        <w:spacing w:after="280"/>
        <w:jc w:val="center"/>
        <w:rPr>
          <w:rFonts w:ascii="Times New Roman" w:hAnsi="Times New Roman" w:cs="Times New Roman"/>
          <w:sz w:val="24"/>
          <w:szCs w:val="24"/>
        </w:rPr>
      </w:pPr>
      <w:r w:rsidRPr="002E2404">
        <w:rPr>
          <w:rFonts w:ascii="Times New Roman" w:hAnsi="Times New Roman" w:cs="Times New Roman"/>
          <w:b/>
          <w:bCs/>
          <w:sz w:val="24"/>
          <w:szCs w:val="24"/>
        </w:rPr>
        <w:t>OGGETTO: Dichiarazione del Comune di …………… «Libero da OGM vecchi e nuovi (NGT)» – misure in materia di mense collettive, sperimentazioni in campo, tutela della salute e della biodiversità.</w:t>
      </w:r>
    </w:p>
    <w:p w14:paraId="65F35313"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L'anno ………, il giorno …… del mese di ……………, alle ore ………, nella Sala Consiliare del Comune di ……………………, si è riunito il Consiglio Comunale in sessione ordinaria di prima convocazione, a seguito di avviso di convocazione trasmesso nei modi e nei termini previsti dalla legge.</w:t>
      </w:r>
    </w:p>
    <w:p w14:paraId="42C6E176"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Presiede la seduta il/la Sig./Sig.ra ………………………………, nella qualità di Sindaco.</w:t>
      </w:r>
    </w:p>
    <w:p w14:paraId="62C4325F" w14:textId="77777777" w:rsidR="004C7FC1" w:rsidRPr="002E2404" w:rsidRDefault="002A5745">
      <w:pPr>
        <w:spacing w:after="280"/>
        <w:rPr>
          <w:rFonts w:ascii="Times New Roman" w:hAnsi="Times New Roman" w:cs="Times New Roman"/>
          <w:sz w:val="24"/>
          <w:szCs w:val="24"/>
        </w:rPr>
      </w:pPr>
      <w:r w:rsidRPr="002E2404">
        <w:rPr>
          <w:rFonts w:ascii="Times New Roman" w:hAnsi="Times New Roman" w:cs="Times New Roman"/>
          <w:sz w:val="24"/>
          <w:szCs w:val="24"/>
        </w:rPr>
        <w:t>Assiste il/la Segretario/a Comunale ………………………………. La seduta è pubblica.</w:t>
      </w:r>
    </w:p>
    <w:p w14:paraId="1BCD63CB"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VISTO</w:t>
      </w:r>
    </w:p>
    <w:p w14:paraId="317A3132"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Il presente Consiglio Comunale,</w:t>
      </w:r>
    </w:p>
    <w:p w14:paraId="37BE2BD3" w14:textId="6718C53E"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Regolamento (UE) 2026/</w:t>
      </w:r>
      <w:r w:rsidR="00304694">
        <w:rPr>
          <w:rFonts w:ascii="Times New Roman" w:hAnsi="Times New Roman" w:cs="Times New Roman"/>
          <w:b/>
          <w:bCs/>
          <w:sz w:val="24"/>
          <w:szCs w:val="24"/>
        </w:rPr>
        <w:t xml:space="preserve">1388 </w:t>
      </w:r>
      <w:r w:rsidRPr="002E2404">
        <w:rPr>
          <w:rFonts w:ascii="Times New Roman" w:hAnsi="Times New Roman" w:cs="Times New Roman"/>
          <w:b/>
          <w:bCs/>
          <w:sz w:val="24"/>
          <w:szCs w:val="24"/>
        </w:rPr>
        <w:t>del Parlamento Europeo e del Consiglio del 17 giugno 2026</w:t>
      </w:r>
      <w:r w:rsidRPr="002E2404">
        <w:rPr>
          <w:rFonts w:ascii="Times New Roman" w:hAnsi="Times New Roman" w:cs="Times New Roman"/>
          <w:sz w:val="24"/>
          <w:szCs w:val="24"/>
        </w:rPr>
        <w:t xml:space="preserve"> relativo alle piante ottenute con determinate nuove tecniche genomiche (NGT) e ai prodotti da esse derivati</w:t>
      </w:r>
      <w:r w:rsidR="00304694">
        <w:rPr>
          <w:rFonts w:ascii="Times New Roman" w:hAnsi="Times New Roman" w:cs="Times New Roman"/>
          <w:sz w:val="24"/>
          <w:szCs w:val="24"/>
        </w:rPr>
        <w:t>,</w:t>
      </w:r>
      <w:r w:rsidRPr="002E2404">
        <w:rPr>
          <w:rFonts w:ascii="Times New Roman" w:hAnsi="Times New Roman" w:cs="Times New Roman"/>
          <w:sz w:val="24"/>
          <w:szCs w:val="24"/>
        </w:rPr>
        <w:t xml:space="preserve"> di seguito «Regolamento NGT», entrato in vigore il </w:t>
      </w:r>
      <w:r w:rsidR="00304694">
        <w:rPr>
          <w:rFonts w:ascii="Times New Roman" w:hAnsi="Times New Roman" w:cs="Times New Roman"/>
          <w:sz w:val="24"/>
          <w:szCs w:val="24"/>
        </w:rPr>
        <w:t>16 luglio 2026</w:t>
      </w:r>
      <w:r w:rsidRPr="002E2404">
        <w:rPr>
          <w:rFonts w:ascii="Times New Roman" w:hAnsi="Times New Roman" w:cs="Times New Roman"/>
          <w:sz w:val="24"/>
          <w:szCs w:val="24"/>
        </w:rPr>
        <w:t xml:space="preserve"> e applicabile </w:t>
      </w:r>
      <w:r w:rsidR="00304694">
        <w:rPr>
          <w:rFonts w:ascii="Times New Roman" w:hAnsi="Times New Roman" w:cs="Times New Roman"/>
          <w:sz w:val="24"/>
          <w:szCs w:val="24"/>
        </w:rPr>
        <w:t>entro 24 mesi</w:t>
      </w:r>
      <w:r w:rsidRPr="002E2404">
        <w:rPr>
          <w:rFonts w:ascii="Times New Roman" w:hAnsi="Times New Roman" w:cs="Times New Roman"/>
          <w:sz w:val="24"/>
          <w:szCs w:val="24"/>
        </w:rPr>
        <w:t>, che:</w:t>
      </w:r>
    </w:p>
    <w:p w14:paraId="15A3FD45"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classifica le piante NGT in due categorie: NGT1 (modifiche genomiche equivalenti per tipo ed entità a quelle ottenibili con tecniche convenzionali) e NGT2 (modifiche più complesse);</w:t>
      </w:r>
    </w:p>
    <w:p w14:paraId="4F37FBB5" w14:textId="48A09B19"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sottrae le piante NGT1 – pari al 94% degli NGT in fase di sviluppo commerciale, secondo l'Agenzia Federale Tedesca per la Conservazione della Natura (BfN, 2024) – dall'intero corpus della normativa OGM</w:t>
      </w:r>
      <w:r w:rsidR="002E2404">
        <w:rPr>
          <w:rFonts w:ascii="Times New Roman" w:hAnsi="Times New Roman" w:cs="Times New Roman"/>
          <w:sz w:val="24"/>
          <w:szCs w:val="24"/>
        </w:rPr>
        <w:t xml:space="preserve"> e dunque alla </w:t>
      </w:r>
      <w:r w:rsidRPr="002E2404">
        <w:rPr>
          <w:rFonts w:ascii="Times New Roman" w:hAnsi="Times New Roman" w:cs="Times New Roman"/>
          <w:sz w:val="24"/>
          <w:szCs w:val="24"/>
        </w:rPr>
        <w:t>valutazione del rischio caso per caso,</w:t>
      </w:r>
      <w:r w:rsidR="002E2404">
        <w:rPr>
          <w:rFonts w:ascii="Times New Roman" w:hAnsi="Times New Roman" w:cs="Times New Roman"/>
          <w:sz w:val="24"/>
          <w:szCs w:val="24"/>
        </w:rPr>
        <w:t xml:space="preserve"> alla tracciabilità analitica e documentale e</w:t>
      </w:r>
      <w:r w:rsidRPr="002E2404">
        <w:rPr>
          <w:rFonts w:ascii="Times New Roman" w:hAnsi="Times New Roman" w:cs="Times New Roman"/>
          <w:sz w:val="24"/>
          <w:szCs w:val="24"/>
        </w:rPr>
        <w:t xml:space="preserve"> </w:t>
      </w:r>
      <w:r w:rsidR="002E2404">
        <w:rPr>
          <w:rFonts w:ascii="Times New Roman" w:hAnsi="Times New Roman" w:cs="Times New Roman"/>
          <w:sz w:val="24"/>
          <w:szCs w:val="24"/>
        </w:rPr>
        <w:t>all’</w:t>
      </w:r>
      <w:r w:rsidRPr="002E2404">
        <w:rPr>
          <w:rFonts w:ascii="Times New Roman" w:hAnsi="Times New Roman" w:cs="Times New Roman"/>
          <w:sz w:val="24"/>
          <w:szCs w:val="24"/>
        </w:rPr>
        <w:t>etichettatura obbligatoria del prodotto finale al consumatore;</w:t>
      </w:r>
    </w:p>
    <w:p w14:paraId="31C03F13" w14:textId="645586B2"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prevede per le sole sementi NGT1 l'etichettatura con la dicitura «NGT-1», mentre i</w:t>
      </w:r>
      <w:r w:rsidR="0010206F" w:rsidRPr="002E2404">
        <w:rPr>
          <w:rFonts w:ascii="Times New Roman" w:hAnsi="Times New Roman" w:cs="Times New Roman"/>
          <w:sz w:val="24"/>
          <w:szCs w:val="24"/>
        </w:rPr>
        <w:t xml:space="preserve"> campi in cui vengono coltivati, i</w:t>
      </w:r>
      <w:r w:rsidRPr="002E2404">
        <w:rPr>
          <w:rFonts w:ascii="Times New Roman" w:hAnsi="Times New Roman" w:cs="Times New Roman"/>
          <w:sz w:val="24"/>
          <w:szCs w:val="24"/>
        </w:rPr>
        <w:t xml:space="preserve"> prodotti alimentari e mangimi derivati da tali piante non recano alcun obbligo di indicazione per il consumatore;</w:t>
      </w:r>
    </w:p>
    <w:p w14:paraId="37407A18" w14:textId="329C6541"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non introduce alcun divieto generale di brevettazione delle piante NGT1 e dei tratti genetici introdotti, limitandosi a misure volontarie e a un mandato di monitoraggio </w:t>
      </w:r>
      <w:r w:rsidR="0010206F" w:rsidRPr="002E2404">
        <w:rPr>
          <w:rFonts w:ascii="Times New Roman" w:hAnsi="Times New Roman" w:cs="Times New Roman"/>
          <w:sz w:val="24"/>
          <w:szCs w:val="24"/>
        </w:rPr>
        <w:t xml:space="preserve">futuro </w:t>
      </w:r>
      <w:r w:rsidRPr="002E2404">
        <w:rPr>
          <w:rFonts w:ascii="Times New Roman" w:hAnsi="Times New Roman" w:cs="Times New Roman"/>
          <w:sz w:val="24"/>
          <w:szCs w:val="24"/>
        </w:rPr>
        <w:t>affidato alla Commissione</w:t>
      </w:r>
      <w:r w:rsidR="00330CFA">
        <w:rPr>
          <w:rFonts w:ascii="Times New Roman" w:hAnsi="Times New Roman" w:cs="Times New Roman"/>
          <w:sz w:val="24"/>
          <w:szCs w:val="24"/>
        </w:rPr>
        <w:t xml:space="preserve"> Europea</w:t>
      </w:r>
      <w:r w:rsidRPr="002E2404">
        <w:rPr>
          <w:rFonts w:ascii="Times New Roman" w:hAnsi="Times New Roman" w:cs="Times New Roman"/>
          <w:sz w:val="24"/>
          <w:szCs w:val="24"/>
        </w:rPr>
        <w:t>;</w:t>
      </w:r>
    </w:p>
    <w:p w14:paraId="3F98BB6B" w14:textId="77777777"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mantiene per le piante NGT2 il regime autorizzativo OGM (seppure semplificato), l'etichettatura e la tracciabilità, nonché la facoltà degli Stati membri di limitare o vietare la coltivazione sul proprio territorio;</w:t>
      </w:r>
    </w:p>
    <w:p w14:paraId="615AC366" w14:textId="559692EF"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t>• prevede che la presenza accidentale di piante NGT1 nella produzione biologica non costituisca «non conformità» ai sensi del Reg. (UE) 2018/848</w:t>
      </w:r>
      <w:r w:rsidR="004224B9">
        <w:rPr>
          <w:rFonts w:ascii="Times New Roman" w:hAnsi="Times New Roman" w:cs="Times New Roman"/>
          <w:sz w:val="24"/>
          <w:szCs w:val="24"/>
        </w:rPr>
        <w:t>, ammettendo dunque</w:t>
      </w:r>
      <w:r w:rsidR="0010206F" w:rsidRPr="002E2404">
        <w:rPr>
          <w:rFonts w:ascii="Times New Roman" w:hAnsi="Times New Roman" w:cs="Times New Roman"/>
          <w:sz w:val="24"/>
          <w:szCs w:val="24"/>
        </w:rPr>
        <w:t xml:space="preserve"> </w:t>
      </w:r>
      <w:r w:rsidR="004224B9">
        <w:rPr>
          <w:rFonts w:ascii="Times New Roman" w:hAnsi="Times New Roman" w:cs="Times New Roman"/>
          <w:sz w:val="24"/>
          <w:szCs w:val="24"/>
        </w:rPr>
        <w:t>che</w:t>
      </w:r>
      <w:r w:rsidR="0010206F" w:rsidRPr="002E2404">
        <w:rPr>
          <w:rFonts w:ascii="Times New Roman" w:hAnsi="Times New Roman" w:cs="Times New Roman"/>
          <w:sz w:val="24"/>
          <w:szCs w:val="24"/>
        </w:rPr>
        <w:t xml:space="preserve"> i prodotti biologici contaminati </w:t>
      </w:r>
      <w:r w:rsidR="004224B9" w:rsidRPr="002E2404">
        <w:rPr>
          <w:rFonts w:ascii="Times New Roman" w:hAnsi="Times New Roman" w:cs="Times New Roman"/>
          <w:sz w:val="24"/>
          <w:szCs w:val="24"/>
        </w:rPr>
        <w:t>manteng</w:t>
      </w:r>
      <w:r w:rsidR="004224B9">
        <w:rPr>
          <w:rFonts w:ascii="Times New Roman" w:hAnsi="Times New Roman" w:cs="Times New Roman"/>
          <w:sz w:val="24"/>
          <w:szCs w:val="24"/>
        </w:rPr>
        <w:t>a</w:t>
      </w:r>
      <w:r w:rsidR="004224B9" w:rsidRPr="002E2404">
        <w:rPr>
          <w:rFonts w:ascii="Times New Roman" w:hAnsi="Times New Roman" w:cs="Times New Roman"/>
          <w:sz w:val="24"/>
          <w:szCs w:val="24"/>
        </w:rPr>
        <w:t xml:space="preserve">no </w:t>
      </w:r>
      <w:r w:rsidR="0010206F" w:rsidRPr="002E2404">
        <w:rPr>
          <w:rFonts w:ascii="Times New Roman" w:hAnsi="Times New Roman" w:cs="Times New Roman"/>
          <w:sz w:val="24"/>
          <w:szCs w:val="24"/>
        </w:rPr>
        <w:t xml:space="preserve">la certificazione “prodotto da agricoltura biologica” </w:t>
      </w:r>
    </w:p>
    <w:p w14:paraId="7206FD7D" w14:textId="77777777" w:rsidR="004C7FC1" w:rsidRPr="002E2404" w:rsidRDefault="002A5745" w:rsidP="00567578">
      <w:pPr>
        <w:spacing w:after="100"/>
        <w:ind w:left="980" w:hanging="360"/>
        <w:jc w:val="both"/>
        <w:rPr>
          <w:rFonts w:ascii="Times New Roman" w:hAnsi="Times New Roman" w:cs="Times New Roman"/>
          <w:sz w:val="24"/>
          <w:szCs w:val="24"/>
        </w:rPr>
      </w:pPr>
      <w:r w:rsidRPr="002E2404">
        <w:rPr>
          <w:rFonts w:ascii="Times New Roman" w:hAnsi="Times New Roman" w:cs="Times New Roman"/>
          <w:sz w:val="24"/>
          <w:szCs w:val="24"/>
        </w:rPr>
        <w:lastRenderedPageBreak/>
        <w:t>• non prevede, per le piante NGT1, alcuna valutazione di impatto sui sistemi agrari locali, sulle filiere di qualità, sulla coesistenza con le produzioni biologiche, biodinamiche e le denominazioni protette;</w:t>
      </w:r>
    </w:p>
    <w:p w14:paraId="113791A9" w14:textId="7C5A7C31"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la Direttiva 2001/18/CE</w:t>
      </w:r>
      <w:r w:rsidRPr="002E2404">
        <w:rPr>
          <w:rFonts w:ascii="Times New Roman" w:hAnsi="Times New Roman" w:cs="Times New Roman"/>
          <w:sz w:val="24"/>
          <w:szCs w:val="24"/>
        </w:rPr>
        <w:t xml:space="preserve"> del Parlamento Europeo e del Consiglio, del 12 marzo 2001, sull'emissione deliberata nell'ambiente di OGM, recepita nell'ordinamento italiano con il </w:t>
      </w:r>
      <w:r w:rsidRPr="002E2404">
        <w:rPr>
          <w:rFonts w:ascii="Times New Roman" w:hAnsi="Times New Roman" w:cs="Times New Roman"/>
          <w:b/>
          <w:bCs/>
          <w:sz w:val="24"/>
          <w:szCs w:val="24"/>
        </w:rPr>
        <w:t>D.Lgs. 8 luglio 2003, n. 224</w:t>
      </w:r>
      <w:r w:rsidRPr="002E2404">
        <w:rPr>
          <w:rFonts w:ascii="Times New Roman" w:hAnsi="Times New Roman" w:cs="Times New Roman"/>
          <w:sz w:val="24"/>
          <w:szCs w:val="24"/>
        </w:rPr>
        <w:t>, che: impone la valutazione preventiva del rischio ambientale e sanitario (artt. 4-5); prevede la notifica e l'autorizzazione per le emissioni sperimentali (Parte B); sancisce il diritto alla consultazione pubblica (art. 9); istituisce l'obbligo di monitoraggio post-emissione (art. 20); riconosce la facoltà degli Stati membri di limitare o vietare la coltivazione di OGM sul proprio territorio (art. 26 ter);</w:t>
      </w:r>
    </w:p>
    <w:p w14:paraId="1BDBAD94" w14:textId="775DF353" w:rsidR="004C7FC1" w:rsidRPr="002E2404" w:rsidRDefault="002A5745" w:rsidP="00C5501B">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D.Lgs. 8 luglio 2003, n. 224</w:t>
      </w:r>
      <w:r w:rsidRPr="002E2404">
        <w:rPr>
          <w:rFonts w:ascii="Times New Roman" w:hAnsi="Times New Roman" w:cs="Times New Roman"/>
          <w:sz w:val="24"/>
          <w:szCs w:val="24"/>
        </w:rPr>
        <w:t xml:space="preserve">, art. 9, che prescrive la trasmissione ai Comuni territorialmente interessati della copia delle notifiche e delle relative autorizzazioni </w:t>
      </w:r>
      <w:r w:rsidR="00C5501B">
        <w:rPr>
          <w:rFonts w:ascii="Times New Roman" w:hAnsi="Times New Roman" w:cs="Times New Roman"/>
          <w:sz w:val="24"/>
          <w:szCs w:val="24"/>
        </w:rPr>
        <w:t xml:space="preserve">al </w:t>
      </w:r>
      <w:r w:rsidR="004224B9">
        <w:rPr>
          <w:rFonts w:ascii="Times New Roman" w:hAnsi="Times New Roman" w:cs="Times New Roman"/>
          <w:sz w:val="24"/>
          <w:szCs w:val="24"/>
        </w:rPr>
        <w:t>rilascio in ambiente</w:t>
      </w:r>
      <w:r w:rsidRPr="002E2404">
        <w:rPr>
          <w:rFonts w:ascii="Times New Roman" w:hAnsi="Times New Roman" w:cs="Times New Roman"/>
          <w:sz w:val="24"/>
          <w:szCs w:val="24"/>
        </w:rPr>
        <w:t xml:space="preserve"> di OGM sul loro territorio;</w:t>
      </w:r>
    </w:p>
    <w:p w14:paraId="559ECE8C"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Regolamento (CE) n. 1829/2003</w:t>
      </w:r>
      <w:r w:rsidRPr="002E2404">
        <w:rPr>
          <w:rFonts w:ascii="Times New Roman" w:hAnsi="Times New Roman" w:cs="Times New Roman"/>
          <w:sz w:val="24"/>
          <w:szCs w:val="24"/>
        </w:rPr>
        <w:t xml:space="preserve"> e il </w:t>
      </w:r>
      <w:r w:rsidRPr="002E2404">
        <w:rPr>
          <w:rFonts w:ascii="Times New Roman" w:hAnsi="Times New Roman" w:cs="Times New Roman"/>
          <w:b/>
          <w:bCs/>
          <w:sz w:val="24"/>
          <w:szCs w:val="24"/>
        </w:rPr>
        <w:t>Regolamento (CE) n. 1830/2003</w:t>
      </w:r>
      <w:r w:rsidRPr="002E2404">
        <w:rPr>
          <w:rFonts w:ascii="Times New Roman" w:hAnsi="Times New Roman" w:cs="Times New Roman"/>
          <w:sz w:val="24"/>
          <w:szCs w:val="24"/>
        </w:rPr>
        <w:t xml:space="preserve"> sulla tracciabilità, etichettatura e autorizzazione degli alimenti e mangimi OGM, applicabili alle piante NGT2 ai sensi del Regolamento NGT;</w:t>
      </w:r>
    </w:p>
    <w:p w14:paraId="4866AB26"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Regolamento (UE) 2018/848</w:t>
      </w:r>
      <w:r w:rsidRPr="002E2404">
        <w:rPr>
          <w:rFonts w:ascii="Times New Roman" w:hAnsi="Times New Roman" w:cs="Times New Roman"/>
          <w:sz w:val="24"/>
          <w:szCs w:val="24"/>
        </w:rPr>
        <w:t xml:space="preserve"> sull'agricoltura biologica, che vieta l'utilizzo di OGM e di prodotti ottenuti da OGM in tutta la filiera biologica – con la deroga introdotta dal Regolamento NGT per la presenza accidentale di NGT1;</w:t>
      </w:r>
    </w:p>
    <w:p w14:paraId="25C0A5ED"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D.Lgs. 18 aprile 2016, n. 50 e il D.Lgs. 31 marzo 2023, n. 36</w:t>
      </w:r>
      <w:r w:rsidRPr="002E2404">
        <w:rPr>
          <w:rFonts w:ascii="Times New Roman" w:hAnsi="Times New Roman" w:cs="Times New Roman"/>
          <w:sz w:val="24"/>
          <w:szCs w:val="24"/>
        </w:rPr>
        <w:t xml:space="preserve"> (Codice dei contratti pubblici), in particolare l'art. 68 del D.Lgs. 36/2023, che consente alle stazioni appaltanti di definire specifiche tecniche nei capitolati d'appalto, anche con riferimento a caratteristiche ambientali, di qualità e di sicurezza alimentare delle forniture;</w:t>
      </w:r>
    </w:p>
    <w:p w14:paraId="6AAA35C2"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D.Lgs. 18 agosto 2000, n. 267 (TUEL)</w:t>
      </w:r>
      <w:r w:rsidRPr="002E2404">
        <w:rPr>
          <w:rFonts w:ascii="Times New Roman" w:hAnsi="Times New Roman" w:cs="Times New Roman"/>
          <w:sz w:val="24"/>
          <w:szCs w:val="24"/>
        </w:rPr>
        <w:t>, artt. 3, 42, 50 e 54, che attribuiscono al Consiglio comunale e al Sindaco poteri deliberativi e di ordinanza in materia di tutela della salute pubblica, dell'ambiente e del benessere dei cittadini nel territorio comunale;</w:t>
      </w:r>
    </w:p>
    <w:p w14:paraId="1EDD4A51"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la Corte Costituzionale, sentenza n. 116/2006</w:t>
      </w:r>
      <w:r w:rsidRPr="002E2404">
        <w:rPr>
          <w:rFonts w:ascii="Times New Roman" w:hAnsi="Times New Roman" w:cs="Times New Roman"/>
          <w:sz w:val="24"/>
          <w:szCs w:val="24"/>
        </w:rPr>
        <w:t>, che ha riconosciuto la competenza esclusiva delle Regioni e Province Autonome nella disciplina della coesistenza delle colture, confermando la dimensione territoriale della governance agricola;</w:t>
      </w:r>
    </w:p>
    <w:p w14:paraId="2A78BC0D"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CONSIDERANDO</w:t>
      </w:r>
    </w:p>
    <w:p w14:paraId="74D30228"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nonostante la sentenza della Corte di Giustizia dell'Unione Europea C-528/16 del 25 luglio 2018 avesse statuito che le piante ottenute con NGT sono OGM ai sensi della Direttiva 2001/18/CE e devono essere soggette a valutazione del rischio, tracciabilità ed etichettatura, il Regolamento NGT adottato il 17 giugno 2026 ha esonerato le piante NGT1 dall'intero quadro normativo OGM, superando detta sentenza con una disciplina derogatoria;</w:t>
      </w:r>
    </w:p>
    <w:p w14:paraId="5E06A4A7" w14:textId="41FC705C"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che il Regolamento NGT non prevede alcuna valutazione di impatto ambientale, sanitario e socio-economico caso per caso per le piante NGT1, laddove invece l'</w:t>
      </w:r>
      <w:r w:rsidRPr="002E2404">
        <w:rPr>
          <w:rFonts w:ascii="Times New Roman" w:hAnsi="Times New Roman" w:cs="Times New Roman"/>
          <w:b/>
          <w:bCs/>
          <w:sz w:val="24"/>
          <w:szCs w:val="24"/>
        </w:rPr>
        <w:t>Agenzia Federale Tedesca per la Conservazione della Natura (BfN)</w:t>
      </w:r>
      <w:r w:rsidRPr="002E2404">
        <w:rPr>
          <w:rFonts w:ascii="Times New Roman" w:hAnsi="Times New Roman" w:cs="Times New Roman"/>
          <w:sz w:val="24"/>
          <w:szCs w:val="24"/>
        </w:rPr>
        <w:t xml:space="preserve">, nel documento scientifico </w:t>
      </w:r>
      <w:r w:rsidRPr="002E2404">
        <w:rPr>
          <w:rFonts w:ascii="Times New Roman" w:hAnsi="Times New Roman" w:cs="Times New Roman"/>
          <w:i/>
          <w:iCs/>
          <w:sz w:val="24"/>
          <w:szCs w:val="24"/>
        </w:rPr>
        <w:t>«Where does the EU-path on new genomic techniques lead us?»</w:t>
      </w:r>
      <w:r w:rsidRPr="002E2404">
        <w:rPr>
          <w:rFonts w:ascii="Times New Roman" w:hAnsi="Times New Roman" w:cs="Times New Roman"/>
          <w:sz w:val="24"/>
          <w:szCs w:val="24"/>
        </w:rPr>
        <w:t xml:space="preserve"> (</w:t>
      </w:r>
      <w:r w:rsidRPr="002E2404">
        <w:rPr>
          <w:rFonts w:ascii="Times New Roman" w:hAnsi="Times New Roman" w:cs="Times New Roman"/>
          <w:i/>
          <w:iCs/>
          <w:sz w:val="24"/>
          <w:szCs w:val="24"/>
        </w:rPr>
        <w:t>Frontiers in Genome Editing</w:t>
      </w:r>
      <w:r w:rsidRPr="002E2404">
        <w:rPr>
          <w:rFonts w:ascii="Times New Roman" w:hAnsi="Times New Roman" w:cs="Times New Roman"/>
          <w:sz w:val="24"/>
          <w:szCs w:val="24"/>
        </w:rPr>
        <w:t>, 14 marzo 2024), ha dimostrato che il 94% delle piante NGT in sviluppo commerciale ricadrebbe nella categoria NGT1, alcune delle quali presentano rischi ambientali paragonabili a quelli degli OGM transgenici;</w:t>
      </w:r>
    </w:p>
    <w:p w14:paraId="3FE778B4"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l'</w:t>
      </w:r>
      <w:r w:rsidRPr="002E2404">
        <w:rPr>
          <w:rFonts w:ascii="Times New Roman" w:hAnsi="Times New Roman" w:cs="Times New Roman"/>
          <w:b/>
          <w:bCs/>
          <w:sz w:val="24"/>
          <w:szCs w:val="24"/>
        </w:rPr>
        <w:t>Agenzia Nazionale Francese per la Sicurezza Alimentare, dell'Ambiente e del Lavoro (ANSES)</w:t>
      </w:r>
      <w:r w:rsidRPr="002E2404">
        <w:rPr>
          <w:rFonts w:ascii="Times New Roman" w:hAnsi="Times New Roman" w:cs="Times New Roman"/>
          <w:sz w:val="24"/>
          <w:szCs w:val="24"/>
        </w:rPr>
        <w:t xml:space="preserve"> ha rilevato che le NGT </w:t>
      </w:r>
      <w:r w:rsidRPr="002E2404">
        <w:rPr>
          <w:rFonts w:ascii="Times New Roman" w:hAnsi="Times New Roman" w:cs="Times New Roman"/>
          <w:b/>
          <w:bCs/>
          <w:sz w:val="24"/>
          <w:szCs w:val="24"/>
        </w:rPr>
        <w:t xml:space="preserve">possono indurre centinaia di mutazioni indesiderate </w:t>
      </w:r>
      <w:r w:rsidRPr="002E2404">
        <w:rPr>
          <w:rFonts w:ascii="Times New Roman" w:hAnsi="Times New Roman" w:cs="Times New Roman"/>
          <w:sz w:val="24"/>
          <w:szCs w:val="24"/>
        </w:rPr>
        <w:t xml:space="preserve">negli organismi viventi, trasmissibili alla generazione successiva, con </w:t>
      </w:r>
      <w:r w:rsidRPr="002E2404">
        <w:rPr>
          <w:rFonts w:ascii="Times New Roman" w:hAnsi="Times New Roman" w:cs="Times New Roman"/>
          <w:sz w:val="24"/>
          <w:szCs w:val="24"/>
        </w:rPr>
        <w:lastRenderedPageBreak/>
        <w:t>potenziale insorgenza di tossine e allergeni non previsti, raccomandando una valutazione del rischio approfondita caso per caso per qualsiasi manipolazione genetica;</w:t>
      </w:r>
    </w:p>
    <w:p w14:paraId="2E0E69A8" w14:textId="77777777" w:rsidR="004C7FC1" w:rsidRPr="002E2404" w:rsidRDefault="002A5745">
      <w:pPr>
        <w:spacing w:after="120"/>
        <w:ind w:left="560" w:hanging="360"/>
        <w:rPr>
          <w:rFonts w:ascii="Times New Roman" w:hAnsi="Times New Roman" w:cs="Times New Roman"/>
          <w:b/>
          <w:bCs/>
          <w:sz w:val="24"/>
          <w:szCs w:val="24"/>
        </w:rPr>
      </w:pPr>
      <w:r w:rsidRPr="002E2404">
        <w:rPr>
          <w:rFonts w:ascii="Times New Roman" w:hAnsi="Times New Roman" w:cs="Times New Roman"/>
          <w:sz w:val="24"/>
          <w:szCs w:val="24"/>
        </w:rPr>
        <w:t xml:space="preserve">– che la mancanza di etichettatura obbligatoria dei prodotti finali derivati da piante NGT1 – pur in presenza dell'obbligo di etichettatura delle sole sementi con la dicitura «NGT-1» – rende di fatto impossibile ai consumatori, ai gestori di mense collettive e agli enti appaltanti l'esercizio consapevole della scelta alimentare, in </w:t>
      </w:r>
      <w:r w:rsidRPr="002E2404">
        <w:rPr>
          <w:rFonts w:ascii="Times New Roman" w:hAnsi="Times New Roman" w:cs="Times New Roman"/>
          <w:b/>
          <w:bCs/>
          <w:sz w:val="24"/>
          <w:szCs w:val="24"/>
        </w:rPr>
        <w:t>assenza di specifiche garanzie contrattuali di filiera;</w:t>
      </w:r>
    </w:p>
    <w:p w14:paraId="79F82AD1" w14:textId="218EAE81"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che il Regolamento NGT non introduce alcun divieto di brevettazione delle piante NGT1 e dei tratti genetici </w:t>
      </w:r>
      <w:r w:rsidR="00DD7203">
        <w:rPr>
          <w:rFonts w:ascii="Times New Roman" w:hAnsi="Times New Roman" w:cs="Times New Roman"/>
          <w:sz w:val="24"/>
          <w:szCs w:val="24"/>
        </w:rPr>
        <w:t>ottenuti tramite nuove tecniche genomiche</w:t>
      </w:r>
      <w:r w:rsidRPr="002E2404">
        <w:rPr>
          <w:rFonts w:ascii="Times New Roman" w:hAnsi="Times New Roman" w:cs="Times New Roman"/>
          <w:sz w:val="24"/>
          <w:szCs w:val="24"/>
        </w:rPr>
        <w:t>; che i brevetti su tratti genetici</w:t>
      </w:r>
      <w:r w:rsidR="00DD7203">
        <w:rPr>
          <w:rFonts w:ascii="Times New Roman" w:hAnsi="Times New Roman" w:cs="Times New Roman"/>
          <w:sz w:val="24"/>
          <w:szCs w:val="24"/>
        </w:rPr>
        <w:t xml:space="preserve"> (o ai processi biotecnologici per ottenerli)</w:t>
      </w:r>
      <w:r w:rsidRPr="002E2404">
        <w:rPr>
          <w:rFonts w:ascii="Times New Roman" w:hAnsi="Times New Roman" w:cs="Times New Roman"/>
          <w:sz w:val="24"/>
          <w:szCs w:val="24"/>
        </w:rPr>
        <w:t xml:space="preserve">, ai sensi degli artt. 8 e 9 della </w:t>
      </w:r>
      <w:r w:rsidRPr="002E2404">
        <w:rPr>
          <w:rFonts w:ascii="Times New Roman" w:hAnsi="Times New Roman" w:cs="Times New Roman"/>
          <w:b/>
          <w:bCs/>
          <w:sz w:val="24"/>
          <w:szCs w:val="24"/>
        </w:rPr>
        <w:t>Direttiva 98/44/CE</w:t>
      </w:r>
      <w:r w:rsidRPr="002E2404">
        <w:rPr>
          <w:rFonts w:ascii="Times New Roman" w:hAnsi="Times New Roman" w:cs="Times New Roman"/>
          <w:sz w:val="24"/>
          <w:szCs w:val="24"/>
        </w:rPr>
        <w:t xml:space="preserve">, si </w:t>
      </w:r>
      <w:r w:rsidRPr="002E2404">
        <w:rPr>
          <w:rFonts w:ascii="Times New Roman" w:hAnsi="Times New Roman" w:cs="Times New Roman"/>
          <w:b/>
          <w:bCs/>
          <w:sz w:val="24"/>
          <w:szCs w:val="24"/>
        </w:rPr>
        <w:t xml:space="preserve">estendono </w:t>
      </w:r>
      <w:r w:rsidRPr="002E2404">
        <w:rPr>
          <w:rFonts w:ascii="Times New Roman" w:hAnsi="Times New Roman" w:cs="Times New Roman"/>
          <w:sz w:val="24"/>
          <w:szCs w:val="24"/>
        </w:rPr>
        <w:t>a tutti i prodotti che incorporano detti tratti indipendentemente dal metodo di ottenimento; che tale regime brevettuale determina un rafforzamento del monopolio delle imprese agrochimiche sulle sementi, un rischio di contenzioso a danno degli agricoltori e delle imprese sementiere indipendenti, e un onere probatorio sproporzionato a carico dei denunciati;</w:t>
      </w:r>
    </w:p>
    <w:p w14:paraId="408F9D7F"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che, secondo dati del </w:t>
      </w:r>
      <w:r w:rsidRPr="002E2404">
        <w:rPr>
          <w:rFonts w:ascii="Times New Roman" w:hAnsi="Times New Roman" w:cs="Times New Roman"/>
          <w:b/>
          <w:bCs/>
          <w:sz w:val="24"/>
          <w:szCs w:val="24"/>
        </w:rPr>
        <w:t>Center for Food Safety</w:t>
      </w:r>
      <w:r w:rsidRPr="002E2404">
        <w:rPr>
          <w:rFonts w:ascii="Times New Roman" w:hAnsi="Times New Roman" w:cs="Times New Roman"/>
          <w:sz w:val="24"/>
          <w:szCs w:val="24"/>
        </w:rPr>
        <w:t xml:space="preserve"> (USA), le cause intentate da detentori di brevetti sulle sementi OGM hanno già determinato esborsi superiori a 23 milioni di dollari da parte di agricoltori negli Stati Uniti; e che tra il 1990 e il 2020 i prezzi delle sementi con tratti geneticamente modificati sono </w:t>
      </w:r>
      <w:r w:rsidRPr="002E2404">
        <w:rPr>
          <w:rFonts w:ascii="Times New Roman" w:hAnsi="Times New Roman" w:cs="Times New Roman"/>
          <w:b/>
          <w:bCs/>
          <w:sz w:val="24"/>
          <w:szCs w:val="24"/>
        </w:rPr>
        <w:t>aumentati del 463% (USDA</w:t>
      </w:r>
      <w:r w:rsidRPr="002E2404">
        <w:rPr>
          <w:rFonts w:ascii="Times New Roman" w:hAnsi="Times New Roman" w:cs="Times New Roman"/>
          <w:sz w:val="24"/>
          <w:szCs w:val="24"/>
        </w:rPr>
        <w:t>), contro il 120% delle sementi convenzionali;</w:t>
      </w:r>
    </w:p>
    <w:p w14:paraId="6099D77E" w14:textId="299EB890" w:rsidR="004C7FC1" w:rsidRPr="002E2404" w:rsidRDefault="002A5745"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che il Registro pubblico informatico delle localizzazioni degli OGM (BCH italiana), istituito ai sensi dell'art. 30 del D.Lgs. 224/2003, documenta l'esistenza di autorizzazioni ministeriali per sperimentazioni in pieno campo con piante NGT sul territorio nazionale (notifiche B/IT/26/01-05), pubblicate senza indicazione della localizzazione geografica precisa (comune, azienda, coordinate catastali</w:t>
      </w:r>
      <w:r w:rsidR="00DD7203">
        <w:rPr>
          <w:rFonts w:ascii="Times New Roman" w:hAnsi="Times New Roman" w:cs="Times New Roman"/>
          <w:sz w:val="24"/>
          <w:szCs w:val="24"/>
        </w:rPr>
        <w:t>, latitudine e longitudine</w:t>
      </w:r>
      <w:r w:rsidRPr="002E2404">
        <w:rPr>
          <w:rFonts w:ascii="Times New Roman" w:hAnsi="Times New Roman" w:cs="Times New Roman"/>
          <w:sz w:val="24"/>
          <w:szCs w:val="24"/>
        </w:rPr>
        <w:t>), in violazione degli obblighi di trasparenza di cui all'art. 27, comma 4, lett. d), del D.Lgs. 224/2003 e della sentenza CGUE C-552/07;</w:t>
      </w:r>
    </w:p>
    <w:p w14:paraId="08ECEC1F"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l'introduzione di colture NGT nel territorio comprometterebbe la vocazione agricola locale, le filiere biologiche e biodinamiche, i prodotti a denominazione protetta e la biodiversità agronomica, con danni irreversibili per la tenuta economica e sociale del territorio;</w:t>
      </w:r>
    </w:p>
    <w:p w14:paraId="042B1198" w14:textId="64BD1916"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che la maggioranza dei cittadini italiani si è espressa a favore del mantenimento dell'Italia come Paese libero da OGM, e che </w:t>
      </w:r>
      <w:r w:rsidR="00DD7203">
        <w:rPr>
          <w:rFonts w:ascii="Times New Roman" w:hAnsi="Times New Roman" w:cs="Times New Roman"/>
          <w:sz w:val="24"/>
          <w:szCs w:val="24"/>
        </w:rPr>
        <w:t>dal 2001</w:t>
      </w:r>
      <w:r w:rsidRPr="002E2404">
        <w:rPr>
          <w:rFonts w:ascii="Times New Roman" w:hAnsi="Times New Roman" w:cs="Times New Roman"/>
          <w:sz w:val="24"/>
          <w:szCs w:val="24"/>
        </w:rPr>
        <w:t xml:space="preserve"> l'Italia ha potuto dichiarare la propria agricoltura «GMO free» grazie alla normativa vigente, condizione ora messa a rischio dal Regolamento NGT;</w:t>
      </w:r>
    </w:p>
    <w:p w14:paraId="034EADC5"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che il Regolamento NGT prevede una fase di implementazione di 24 mesi prima dell'applicazione piena delle norme operative (banca dati NGT, standard di etichettatura NGT2, criteri di verifica), aprendo una finestra di intervento per le autorità locali;</w:t>
      </w:r>
    </w:p>
    <w:p w14:paraId="7C6CFEDB"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RICORDANDO CHE</w:t>
      </w:r>
    </w:p>
    <w:p w14:paraId="7C7A22C6"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la Corte di Giustizia dell'Unione Europea, sentenza C-528/16 del 25 luglio 2018</w:t>
      </w:r>
      <w:r w:rsidRPr="002E2404">
        <w:rPr>
          <w:rFonts w:ascii="Times New Roman" w:hAnsi="Times New Roman" w:cs="Times New Roman"/>
          <w:sz w:val="24"/>
          <w:szCs w:val="24"/>
        </w:rPr>
        <w:t xml:space="preserve"> (</w:t>
      </w:r>
      <w:r w:rsidRPr="002E2404">
        <w:rPr>
          <w:rFonts w:ascii="Times New Roman" w:hAnsi="Times New Roman" w:cs="Times New Roman"/>
          <w:i/>
          <w:iCs/>
          <w:sz w:val="24"/>
          <w:szCs w:val="24"/>
        </w:rPr>
        <w:t>Confédération Paysanne e a. c. Premier ministre</w:t>
      </w:r>
      <w:r w:rsidRPr="002E2404">
        <w:rPr>
          <w:rFonts w:ascii="Times New Roman" w:hAnsi="Times New Roman" w:cs="Times New Roman"/>
          <w:sz w:val="24"/>
          <w:szCs w:val="24"/>
        </w:rPr>
        <w:t>), ha statuito che gli OGM ottenuti mediante NGT non possono essere considerati esclusi dall'ambito di applicazione della Direttiva 2001/18/CE, e che la maggiore velocità e scala di produzione degli NGT rispetto alla mutagenesi casuale depone a favore della rigorosa applicazione del principio di precauzione;</w:t>
      </w:r>
    </w:p>
    <w:p w14:paraId="74950993"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lastRenderedPageBreak/>
        <w:t xml:space="preserve">– </w:t>
      </w:r>
      <w:r w:rsidRPr="002E2404">
        <w:rPr>
          <w:rFonts w:ascii="Times New Roman" w:hAnsi="Times New Roman" w:cs="Times New Roman"/>
          <w:b/>
          <w:bCs/>
          <w:sz w:val="24"/>
          <w:szCs w:val="24"/>
        </w:rPr>
        <w:t>la Corte di Giustizia dell'Unione Europea, sentenza C-552/07 del 17 febbraio 2009</w:t>
      </w:r>
      <w:r w:rsidRPr="002E2404">
        <w:rPr>
          <w:rFonts w:ascii="Times New Roman" w:hAnsi="Times New Roman" w:cs="Times New Roman"/>
          <w:sz w:val="24"/>
          <w:szCs w:val="24"/>
        </w:rPr>
        <w:t xml:space="preserve"> (</w:t>
      </w:r>
      <w:r w:rsidRPr="002E2404">
        <w:rPr>
          <w:rFonts w:ascii="Times New Roman" w:hAnsi="Times New Roman" w:cs="Times New Roman"/>
          <w:i/>
          <w:iCs/>
          <w:sz w:val="24"/>
          <w:szCs w:val="24"/>
        </w:rPr>
        <w:t>Commune de Sausheim c. Pierre Azelvandre</w:t>
      </w:r>
      <w:r w:rsidRPr="002E2404">
        <w:rPr>
          <w:rFonts w:ascii="Times New Roman" w:hAnsi="Times New Roman" w:cs="Times New Roman"/>
          <w:sz w:val="24"/>
          <w:szCs w:val="24"/>
        </w:rPr>
        <w:t>), ha statuito che l'ubicazione geografica precisa di un sito di emissione deliberata di OGM non può in nessun caso essere tenuta riservata ai sensi dell'art. 25, par. 4, della Direttiva 2001/18/CE, e che i Comuni hanno un pieno diritto di accesso a tali informazioni;</w:t>
      </w:r>
    </w:p>
    <w:p w14:paraId="149D5227" w14:textId="77777777" w:rsidR="004C7FC1" w:rsidRPr="002E2404" w:rsidRDefault="002A5745">
      <w:pPr>
        <w:spacing w:after="120"/>
        <w:ind w:left="560" w:hanging="360"/>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Consiglio di Stato, sez. III, sentenza n. 1281 del 4 marzo 2013</w:t>
      </w:r>
      <w:r w:rsidRPr="002E2404">
        <w:rPr>
          <w:rFonts w:ascii="Times New Roman" w:hAnsi="Times New Roman" w:cs="Times New Roman"/>
          <w:sz w:val="24"/>
          <w:szCs w:val="24"/>
        </w:rPr>
        <w:t>, secondo cui «il principio di precauzione affida alle autorità competenti il compito di prevenire il verificarsi o il ripetersi di danni ambientali», con ampi margini di discrezionalità nell'individuazione delle misure più efficaci;</w:t>
      </w:r>
    </w:p>
    <w:p w14:paraId="72655E7C" w14:textId="10DC4837" w:rsidR="004C7FC1" w:rsidRPr="002E2404" w:rsidRDefault="002A5745" w:rsidP="00ED6D2A">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 xml:space="preserve">– </w:t>
      </w:r>
      <w:r w:rsidRPr="002E2404">
        <w:rPr>
          <w:rFonts w:ascii="Times New Roman" w:hAnsi="Times New Roman" w:cs="Times New Roman"/>
          <w:b/>
          <w:bCs/>
          <w:sz w:val="24"/>
          <w:szCs w:val="24"/>
        </w:rPr>
        <w:t>il TAR Lazio, sez. III</w:t>
      </w:r>
      <w:r w:rsidR="00713219">
        <w:rPr>
          <w:rFonts w:ascii="Times New Roman" w:hAnsi="Times New Roman" w:cs="Times New Roman"/>
          <w:b/>
          <w:bCs/>
          <w:sz w:val="24"/>
          <w:szCs w:val="24"/>
        </w:rPr>
        <w:t xml:space="preserve"> quater</w:t>
      </w:r>
      <w:r w:rsidRPr="002E2404">
        <w:rPr>
          <w:rFonts w:ascii="Times New Roman" w:hAnsi="Times New Roman" w:cs="Times New Roman"/>
          <w:b/>
          <w:bCs/>
          <w:sz w:val="24"/>
          <w:szCs w:val="24"/>
        </w:rPr>
        <w:t>,</w:t>
      </w:r>
      <w:r w:rsidR="00713219" w:rsidRPr="00713219">
        <w:rPr>
          <w:rFonts w:ascii="Times New Roman" w:hAnsi="Times New Roman" w:cs="Times New Roman"/>
          <w:b/>
          <w:bCs/>
          <w:sz w:val="24"/>
          <w:szCs w:val="24"/>
        </w:rPr>
        <w:t xml:space="preserve"> n. 4410/2014</w:t>
      </w:r>
      <w:r w:rsidRPr="002E2404">
        <w:rPr>
          <w:rFonts w:ascii="Times New Roman" w:hAnsi="Times New Roman" w:cs="Times New Roman"/>
          <w:sz w:val="24"/>
          <w:szCs w:val="24"/>
        </w:rPr>
        <w:t>, che ha affermato che «dal principio di precauzione discende che, quando sussistono incertezze riguardo all'esistenza o alla portata di rischi per la salute delle persone, possono essere adottate misure protettive senza dover attendere che siano esaurientemente dimostrate la realtà e la gravità di tali rischi»;</w:t>
      </w:r>
    </w:p>
    <w:p w14:paraId="3834EE62" w14:textId="202A3C5F" w:rsidR="00544F15" w:rsidRDefault="00567578" w:rsidP="00567578">
      <w:pPr>
        <w:spacing w:after="120"/>
        <w:ind w:left="560" w:hanging="360"/>
        <w:jc w:val="both"/>
        <w:rPr>
          <w:rFonts w:ascii="Times New Roman" w:hAnsi="Times New Roman" w:cs="Times New Roman"/>
          <w:sz w:val="24"/>
          <w:szCs w:val="24"/>
        </w:rPr>
      </w:pPr>
      <w:r w:rsidRPr="002E2404">
        <w:rPr>
          <w:rFonts w:ascii="Times New Roman" w:hAnsi="Times New Roman" w:cs="Times New Roman"/>
          <w:sz w:val="24"/>
          <w:szCs w:val="24"/>
        </w:rPr>
        <w:t>–</w:t>
      </w:r>
      <w:r w:rsidR="00544F15" w:rsidRPr="00544F15">
        <w:rPr>
          <w:rFonts w:ascii="Times New Roman" w:hAnsi="Times New Roman" w:cs="Times New Roman"/>
          <w:sz w:val="24"/>
          <w:szCs w:val="24"/>
        </w:rPr>
        <w:t xml:space="preserve"> </w:t>
      </w:r>
      <w:r>
        <w:rPr>
          <w:rFonts w:ascii="Times New Roman" w:hAnsi="Times New Roman" w:cs="Times New Roman"/>
          <w:b/>
          <w:sz w:val="24"/>
          <w:szCs w:val="24"/>
        </w:rPr>
        <w:t>l</w:t>
      </w:r>
      <w:r w:rsidRPr="00567578">
        <w:rPr>
          <w:rFonts w:ascii="Times New Roman" w:hAnsi="Times New Roman" w:cs="Times New Roman"/>
          <w:b/>
          <w:sz w:val="24"/>
          <w:szCs w:val="24"/>
        </w:rPr>
        <w:t xml:space="preserve">a </w:t>
      </w:r>
      <w:r w:rsidR="00544F15" w:rsidRPr="00567578">
        <w:rPr>
          <w:rFonts w:ascii="Times New Roman" w:hAnsi="Times New Roman" w:cs="Times New Roman"/>
          <w:b/>
          <w:sz w:val="24"/>
          <w:szCs w:val="24"/>
        </w:rPr>
        <w:t>Corte Costituzionale, con la sentenza n. 116/2006</w:t>
      </w:r>
      <w:r w:rsidR="00544F15" w:rsidRPr="00544F15">
        <w:rPr>
          <w:rFonts w:ascii="Times New Roman" w:hAnsi="Times New Roman" w:cs="Times New Roman"/>
          <w:sz w:val="24"/>
          <w:szCs w:val="24"/>
        </w:rPr>
        <w:t xml:space="preserve">, ha riconosciuto la competenza delle Regioni e Province Autonome nella disciplina delle modalità applicative della coesistenza delle colture (quali i piani di coesistenza e le distanze minime), nell'ambito della loro potestà legislativa residuale in materia di agricoltura, confermando la forte dimensione locale e territoriale della governance in materia di colture geneticamente modificate. </w:t>
      </w:r>
      <w:r w:rsidR="00544F15">
        <w:rPr>
          <w:rFonts w:ascii="Times New Roman" w:hAnsi="Times New Roman" w:cs="Times New Roman"/>
          <w:sz w:val="24"/>
          <w:szCs w:val="24"/>
        </w:rPr>
        <w:t>Il r</w:t>
      </w:r>
      <w:r w:rsidR="00544F15" w:rsidRPr="00544F15">
        <w:rPr>
          <w:rFonts w:ascii="Times New Roman" w:hAnsi="Times New Roman" w:cs="Times New Roman"/>
          <w:sz w:val="24"/>
          <w:szCs w:val="24"/>
        </w:rPr>
        <w:t>egolamento NGT con riferimento alle NGT2</w:t>
      </w:r>
      <w:r w:rsidR="00544F15">
        <w:rPr>
          <w:rFonts w:ascii="Times New Roman" w:hAnsi="Times New Roman" w:cs="Times New Roman"/>
          <w:sz w:val="24"/>
          <w:szCs w:val="24"/>
        </w:rPr>
        <w:t xml:space="preserve"> </w:t>
      </w:r>
      <w:r w:rsidR="00544F15" w:rsidRPr="00544F15">
        <w:rPr>
          <w:rFonts w:ascii="Times New Roman" w:hAnsi="Times New Roman" w:cs="Times New Roman"/>
          <w:sz w:val="24"/>
          <w:szCs w:val="24"/>
        </w:rPr>
        <w:t>prevede un meccanismo di 'opt-out' nazionale, che attribuisce agli Stati membri — e non direttamente alle Regioni — la facoltà di vietare la coltivazione di piante NGT-2 sul proprio territorio.</w:t>
      </w:r>
    </w:p>
    <w:p w14:paraId="40106B87" w14:textId="77777777" w:rsidR="00544F15" w:rsidRDefault="00544F15">
      <w:pPr>
        <w:spacing w:after="120"/>
        <w:ind w:left="560" w:hanging="360"/>
        <w:rPr>
          <w:rFonts w:ascii="Times New Roman" w:hAnsi="Times New Roman" w:cs="Times New Roman"/>
          <w:sz w:val="24"/>
          <w:szCs w:val="24"/>
        </w:rPr>
      </w:pPr>
    </w:p>
    <w:p w14:paraId="6B2F6B85" w14:textId="77777777" w:rsidR="004C7FC1" w:rsidRPr="002E2404" w:rsidRDefault="002A5745">
      <w:pPr>
        <w:spacing w:before="280" w:after="120"/>
        <w:rPr>
          <w:rFonts w:ascii="Times New Roman" w:hAnsi="Times New Roman" w:cs="Times New Roman"/>
          <w:sz w:val="24"/>
          <w:szCs w:val="24"/>
        </w:rPr>
      </w:pPr>
      <w:r w:rsidRPr="002E2404">
        <w:rPr>
          <w:rFonts w:ascii="Times New Roman" w:hAnsi="Times New Roman" w:cs="Times New Roman"/>
          <w:b/>
          <w:bCs/>
          <w:sz w:val="24"/>
          <w:szCs w:val="24"/>
          <w:u w:val="single"/>
        </w:rPr>
        <w:t>RITENUTO</w:t>
      </w:r>
    </w:p>
    <w:p w14:paraId="153CC7C1"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che il Consiglio Comunale è titolare, ai sensi degli artt. 3, 42, 50 e 54 del D.Lgs. 267/2000 (TUEL), di compiti di indirizzo politico-amministrativo, di tutela della salute pubblica, dell'ambiente e dell'identità economica e culturale del proprio territorio;</w:t>
      </w:r>
    </w:p>
    <w:p w14:paraId="57C7E318"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 xml:space="preserve">che rientrano nelle competenze del Comune: l'affidamento del servizio di ristorazione collettiva (mense scolastiche, ospedaliere, aziendali) e la definizione dei relativi capitolati d'appalto, compresi i requisiti tecnici delle forniture alimentari; l'esercizio del diritto di informazione e partecipazione nelle procedure di autorizzazione a sperimentazioni OGM/NGT sul territorio (D.Lgs. 224/2003, art. 9); </w:t>
      </w:r>
      <w:r w:rsidRPr="002E2404">
        <w:rPr>
          <w:rFonts w:ascii="Times New Roman" w:hAnsi="Times New Roman" w:cs="Times New Roman"/>
          <w:b/>
          <w:bCs/>
          <w:sz w:val="24"/>
          <w:szCs w:val="24"/>
        </w:rPr>
        <w:t>l'adozione di atti di indirizzo politico</w:t>
      </w:r>
      <w:r w:rsidRPr="002E2404">
        <w:rPr>
          <w:rFonts w:ascii="Times New Roman" w:hAnsi="Times New Roman" w:cs="Times New Roman"/>
          <w:sz w:val="24"/>
          <w:szCs w:val="24"/>
        </w:rPr>
        <w:t xml:space="preserve"> verso Regione e Stato in materia di coesistenza delle colture e di divieto di coltivazione di OGM/NGT2;</w:t>
      </w:r>
    </w:p>
    <w:p w14:paraId="2A600176" w14:textId="190DD06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che il principio di precauzione confermato dalla giurisprudenza italiana ed europea</w:t>
      </w:r>
      <w:r w:rsidR="00746332" w:rsidRPr="002E2404">
        <w:rPr>
          <w:rFonts w:ascii="Times New Roman" w:hAnsi="Times New Roman" w:cs="Times New Roman"/>
          <w:sz w:val="24"/>
          <w:szCs w:val="24"/>
        </w:rPr>
        <w:t xml:space="preserve">, </w:t>
      </w:r>
      <w:r w:rsidRPr="002E2404">
        <w:rPr>
          <w:rFonts w:ascii="Times New Roman" w:hAnsi="Times New Roman" w:cs="Times New Roman"/>
          <w:sz w:val="24"/>
          <w:szCs w:val="24"/>
        </w:rPr>
        <w:t>legittima l'adozione di misure preventive a tutela della salute dei cittadini e dell'ambiente, in particolare in assenza di adeguata valutazione del rischio per le NGT1;</w:t>
      </w:r>
    </w:p>
    <w:p w14:paraId="4024DB5E"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che l'assenza di etichettatura obbligatoria dei prodotti alimentari derivati da NGT1 rende necessario, per i soggetti appaltanti pubblici, l'inserimento di specifiche tecniche nei capitolati che impongano ai fornitori la dichiarazione e garanzia di filiera «libera da OGM e NGT»;</w:t>
      </w:r>
    </w:p>
    <w:p w14:paraId="61007445" w14:textId="77777777" w:rsidR="004C7FC1" w:rsidRPr="002E2404" w:rsidRDefault="002A5745">
      <w:pPr>
        <w:spacing w:after="280"/>
        <w:rPr>
          <w:rFonts w:ascii="Times New Roman" w:hAnsi="Times New Roman" w:cs="Times New Roman"/>
          <w:sz w:val="24"/>
          <w:szCs w:val="24"/>
        </w:rPr>
      </w:pPr>
      <w:r w:rsidRPr="002E2404">
        <w:rPr>
          <w:rFonts w:ascii="Times New Roman" w:hAnsi="Times New Roman" w:cs="Times New Roman"/>
          <w:sz w:val="24"/>
          <w:szCs w:val="24"/>
        </w:rPr>
        <w:t xml:space="preserve">che la dichiarazione del Comune </w:t>
      </w:r>
      <w:r w:rsidRPr="002E2404">
        <w:rPr>
          <w:rFonts w:ascii="Times New Roman" w:hAnsi="Times New Roman" w:cs="Times New Roman"/>
          <w:b/>
          <w:bCs/>
          <w:sz w:val="24"/>
          <w:szCs w:val="24"/>
        </w:rPr>
        <w:t>come «Libero da OGM vecchi e nuovi» costituisce un atto di indirizzo politico legittimo,</w:t>
      </w:r>
      <w:r w:rsidRPr="002E2404">
        <w:rPr>
          <w:rFonts w:ascii="Times New Roman" w:hAnsi="Times New Roman" w:cs="Times New Roman"/>
          <w:sz w:val="24"/>
          <w:szCs w:val="24"/>
        </w:rPr>
        <w:t xml:space="preserve"> coerente con i poteri dell'ente locale, e un segnale pubblico di responsabilità verso i cittadini, le filiere produttive locali e le future generazioni;</w:t>
      </w:r>
    </w:p>
    <w:p w14:paraId="69797413" w14:textId="77777777" w:rsidR="004C7FC1" w:rsidRPr="002E2404" w:rsidRDefault="002A5745">
      <w:pPr>
        <w:spacing w:before="240" w:after="200"/>
        <w:jc w:val="center"/>
        <w:rPr>
          <w:rFonts w:ascii="Times New Roman" w:hAnsi="Times New Roman" w:cs="Times New Roman"/>
          <w:sz w:val="24"/>
          <w:szCs w:val="24"/>
        </w:rPr>
      </w:pPr>
      <w:r w:rsidRPr="002E2404">
        <w:rPr>
          <w:rFonts w:ascii="Times New Roman" w:hAnsi="Times New Roman" w:cs="Times New Roman"/>
          <w:b/>
          <w:bCs/>
          <w:caps/>
          <w:sz w:val="24"/>
          <w:szCs w:val="24"/>
        </w:rPr>
        <w:t>DELIBERA</w:t>
      </w:r>
    </w:p>
    <w:p w14:paraId="7366E427" w14:textId="77777777"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Dichiarazione «Comune libero da OGM vecchi e nuovi (NGT)». </w:t>
      </w:r>
      <w:r w:rsidRPr="002E2404">
        <w:rPr>
          <w:rFonts w:ascii="Times New Roman" w:hAnsi="Times New Roman" w:cs="Times New Roman"/>
          <w:sz w:val="24"/>
          <w:szCs w:val="24"/>
        </w:rPr>
        <w:t xml:space="preserve">Di dichiarare il Comune di …………………… «Comune libero da OGM vecchi e nuovi», intendendo con questa </w:t>
      </w:r>
      <w:r w:rsidRPr="002E2404">
        <w:rPr>
          <w:rFonts w:ascii="Times New Roman" w:hAnsi="Times New Roman" w:cs="Times New Roman"/>
          <w:sz w:val="24"/>
          <w:szCs w:val="24"/>
        </w:rPr>
        <w:lastRenderedPageBreak/>
        <w:t>espressione tutti gli organismi viventi – vegetali, animali o microbici – ottenuti mediante manipolazione genetica, incluse le piante di cui al Regolamento (UE) 2026/… (NGT di categoria 1 e categoria 2), e di affiggere tale dicitura sotto la segnaletica istituzionale del Comune alle porte del territorio comunale.</w:t>
      </w:r>
    </w:p>
    <w:p w14:paraId="4D4B918C" w14:textId="40094596" w:rsidR="004C7FC1" w:rsidRPr="002E2404" w:rsidRDefault="00544F15" w:rsidP="00ED6D2A">
      <w:pPr>
        <w:pStyle w:val="Paragrafoelenco"/>
        <w:numPr>
          <w:ilvl w:val="0"/>
          <w:numId w:val="2"/>
        </w:numPr>
        <w:spacing w:after="160"/>
        <w:jc w:val="both"/>
        <w:rPr>
          <w:rFonts w:ascii="Times New Roman" w:hAnsi="Times New Roman" w:cs="Times New Roman"/>
          <w:sz w:val="24"/>
          <w:szCs w:val="24"/>
        </w:rPr>
      </w:pPr>
      <w:r>
        <w:rPr>
          <w:rFonts w:ascii="Times New Roman" w:hAnsi="Times New Roman" w:cs="Times New Roman"/>
          <w:sz w:val="24"/>
          <w:szCs w:val="24"/>
        </w:rPr>
        <w:t xml:space="preserve"> </w:t>
      </w:r>
      <w:r w:rsidR="002A5745">
        <w:rPr>
          <w:rFonts w:ascii="Times New Roman" w:hAnsi="Times New Roman" w:cs="Times New Roman"/>
          <w:b/>
          <w:bCs/>
          <w:sz w:val="24"/>
          <w:szCs w:val="24"/>
        </w:rPr>
        <w:t>Impegno dell’Ente locale a ottenere e pubblicare la localizzazione precisa dei siti di emissione</w:t>
      </w:r>
      <w:r w:rsidR="002A5745" w:rsidRPr="002E2404">
        <w:rPr>
          <w:rFonts w:ascii="Times New Roman" w:hAnsi="Times New Roman" w:cs="Times New Roman"/>
          <w:sz w:val="24"/>
          <w:szCs w:val="24"/>
        </w:rPr>
        <w:t>.</w:t>
      </w:r>
      <w:r w:rsidR="002A5745">
        <w:rPr>
          <w:rFonts w:ascii="Times New Roman" w:hAnsi="Times New Roman" w:cs="Times New Roman"/>
          <w:sz w:val="24"/>
          <w:szCs w:val="24"/>
        </w:rPr>
        <w:t xml:space="preserve"> Di ottenere dal Ministero dell’Ambiente e della Sicurezza Energetica, o se necessario dal notificante, le coordinate geografiche (latitudine e longitudine) del sito di emissione e pubblicarle in apposito spazio digitale accessibile ai cittadini.</w:t>
      </w:r>
    </w:p>
    <w:p w14:paraId="671B788E" w14:textId="77777777"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Mense collettive: specifiche tecniche nei capitolati d'appalto. </w:t>
      </w:r>
      <w:r w:rsidRPr="002E2404">
        <w:rPr>
          <w:rFonts w:ascii="Times New Roman" w:hAnsi="Times New Roman" w:cs="Times New Roman"/>
          <w:sz w:val="24"/>
          <w:szCs w:val="24"/>
        </w:rPr>
        <w:t>Di inserire, in tutti i capitolati d'appalto relativi al servizio di ristorazione collettiva di competenza comunale (mense scolastiche, asili nido, mense ospedaliere convenzionate, mense aziendali gestite dal Comune) le seguenti specifiche tecniche ai sensi dell'art. 68 del D.Lgs. 36/2023:</w:t>
      </w:r>
    </w:p>
    <w:p w14:paraId="23ECD17B"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obbligo per i fornitori di dichiarare che tutti gli ingredienti e i prodotti alimentari consegnati sono privi di organismi geneticamente modificati di vecchia e nuova generazione, inclusi i prodotti derivati da piante NGT di categoria 1 e 2 ai sensi del Regolamento (UE) 2026/…, anche in assenza di obbligo di etichettatura sul prodotto finale;</w:t>
      </w:r>
    </w:p>
    <w:p w14:paraId="4F2D12C1"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obbligo di fornire, su richiesta del Comune, la documentazione di rintracciabilità di filiera attestante l'assenza di OGM/NGT lungo tutta la catena produttiva;</w:t>
      </w:r>
    </w:p>
    <w:p w14:paraId="063CA61B" w14:textId="677AE93B" w:rsidR="002A5745"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risoluzione contrattuale in caso di accertata difformità dalle dichiarazioni rese.</w:t>
      </w:r>
    </w:p>
    <w:p w14:paraId="752BDEBD" w14:textId="072C5B84" w:rsidR="002A5745" w:rsidRPr="00ED6D2A" w:rsidRDefault="002A5745">
      <w:pPr>
        <w:pStyle w:val="Paragrafoelenco"/>
        <w:numPr>
          <w:ilvl w:val="0"/>
          <w:numId w:val="2"/>
        </w:numPr>
        <w:spacing w:after="160"/>
        <w:rPr>
          <w:rFonts w:ascii="Times New Roman" w:hAnsi="Times New Roman" w:cs="Times New Roman"/>
          <w:sz w:val="24"/>
          <w:szCs w:val="24"/>
        </w:rPr>
      </w:pPr>
      <w:r w:rsidRPr="00ED6D2A">
        <w:rPr>
          <w:rFonts w:ascii="Times New Roman" w:hAnsi="Times New Roman" w:cs="Times New Roman"/>
          <w:b/>
          <w:sz w:val="24"/>
          <w:szCs w:val="24"/>
        </w:rPr>
        <w:t>Divieto di coltivazione sulle terre pubbliche.</w:t>
      </w:r>
      <w:r>
        <w:rPr>
          <w:rFonts w:ascii="Times New Roman" w:hAnsi="Times New Roman" w:cs="Times New Roman"/>
          <w:sz w:val="24"/>
          <w:szCs w:val="24"/>
        </w:rPr>
        <w:t xml:space="preserve"> Di escludere esplicitamente dai bandi per l’affidamento delle terre pubbliche la produzione di OGM/NGT, pena l’annullamento della concessione agli assegnatari. </w:t>
      </w:r>
    </w:p>
    <w:p w14:paraId="0E3193D2" w14:textId="77777777"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Tutela dell'agricoltura biologica, biodinamica e delle produzioni tipiche. </w:t>
      </w:r>
      <w:r w:rsidRPr="002E2404">
        <w:rPr>
          <w:rFonts w:ascii="Times New Roman" w:hAnsi="Times New Roman" w:cs="Times New Roman"/>
          <w:sz w:val="24"/>
          <w:szCs w:val="24"/>
        </w:rPr>
        <w:t>Di impegnare il Sindaco e la Giunta a promuovere, in accordo con le associazioni di categoria, le organizzazioni contadine e le reti di economia solidale presenti sul territorio, filiere di approvvigionamento alimentare «libere da OGM e NGT», con preferenza per le produzioni locali biologiche, biodinamiche e a denominazione protetta; e a sostenere gli agricoltori del territorio nel mantenimento delle loro colture libere da contaminazione OGM/NGT.</w:t>
      </w:r>
    </w:p>
    <w:p w14:paraId="1F009923" w14:textId="4BBF7A8B"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Indirizzo verso Regione e Stato in materia di NGT2 e brevetti. </w:t>
      </w:r>
      <w:r w:rsidRPr="002E2404">
        <w:rPr>
          <w:rFonts w:ascii="Times New Roman" w:hAnsi="Times New Roman" w:cs="Times New Roman"/>
          <w:sz w:val="24"/>
          <w:szCs w:val="24"/>
        </w:rPr>
        <w:t>Di trasmettere la presente delibera alla Regione …………………, alla Presidenza del Consiglio dei Ministri e ai Ministeri competenti (Ambiente, Agricoltura, Salute), invitandoli: a esercitare la facoltà prevista dal Regolamento NGT (art. 26 ter, Direttiva 2001/18/CE, come richiamato per le piante NGT2) di limitare o vietare la coltivazione di piante NGT2 sul territorio nazionale; a proporre o sostenere, in sede europea</w:t>
      </w:r>
      <w:r>
        <w:rPr>
          <w:rFonts w:ascii="Times New Roman" w:hAnsi="Times New Roman" w:cs="Times New Roman"/>
          <w:sz w:val="24"/>
          <w:szCs w:val="24"/>
        </w:rPr>
        <w:t xml:space="preserve"> e nazionale</w:t>
      </w:r>
      <w:r w:rsidRPr="002E2404">
        <w:rPr>
          <w:rFonts w:ascii="Times New Roman" w:hAnsi="Times New Roman" w:cs="Times New Roman"/>
          <w:sz w:val="24"/>
          <w:szCs w:val="24"/>
        </w:rPr>
        <w:t>, una revisione della normativa brevettuale che escluda dalla brevettabilità le piante NGT1 classificate come equivalenti ai prodotti della selezione convenzionale; a garantire la piena trasparenza sulla localizzazione geografica di tutte le sperimentazioni NGT in corso, ai sensi del D.Lgs. 224/2003 e della sentenza CGUE C-552/07.</w:t>
      </w:r>
    </w:p>
    <w:p w14:paraId="0B3FA579" w14:textId="6A6BF2B9" w:rsidR="004C7FC1" w:rsidRPr="002E2404" w:rsidRDefault="002A5745">
      <w:pPr>
        <w:pStyle w:val="Paragrafoelenco"/>
        <w:numPr>
          <w:ilvl w:val="0"/>
          <w:numId w:val="2"/>
        </w:numPr>
        <w:spacing w:after="160"/>
        <w:rPr>
          <w:rFonts w:ascii="Times New Roman" w:hAnsi="Times New Roman" w:cs="Times New Roman"/>
          <w:sz w:val="24"/>
          <w:szCs w:val="24"/>
        </w:rPr>
      </w:pPr>
      <w:r w:rsidRPr="002E2404">
        <w:rPr>
          <w:rFonts w:ascii="Times New Roman" w:hAnsi="Times New Roman" w:cs="Times New Roman"/>
          <w:b/>
          <w:bCs/>
          <w:sz w:val="24"/>
          <w:szCs w:val="24"/>
        </w:rPr>
        <w:t xml:space="preserve">Campagna di informazione e partecipazione. </w:t>
      </w:r>
      <w:r w:rsidRPr="002E2404">
        <w:rPr>
          <w:rFonts w:ascii="Times New Roman" w:hAnsi="Times New Roman" w:cs="Times New Roman"/>
          <w:sz w:val="24"/>
          <w:szCs w:val="24"/>
        </w:rPr>
        <w:t xml:space="preserve">Di istituire un Coordinamento Comunale, aperto alle associazioni, alle </w:t>
      </w:r>
      <w:r>
        <w:rPr>
          <w:rFonts w:ascii="Times New Roman" w:hAnsi="Times New Roman" w:cs="Times New Roman"/>
          <w:sz w:val="24"/>
          <w:szCs w:val="24"/>
        </w:rPr>
        <w:t>aziende</w:t>
      </w:r>
      <w:r w:rsidRPr="002E2404">
        <w:rPr>
          <w:rFonts w:ascii="Times New Roman" w:hAnsi="Times New Roman" w:cs="Times New Roman"/>
          <w:sz w:val="24"/>
          <w:szCs w:val="24"/>
        </w:rPr>
        <w:t xml:space="preserve"> agricole, ai genitori degli alunni delle scuole del territorio e ai comitati di cittadini, con i seguenti compiti:</w:t>
      </w:r>
    </w:p>
    <w:p w14:paraId="23BBDAD1"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informare imprese agroalimentari, rivenditori e cittadini sui rischi sanitari, ambientali ed economici connessi all'introduzione di OGM e NGT nelle filiere produttive locali;</w:t>
      </w:r>
    </w:p>
    <w:p w14:paraId="78C63ED1" w14:textId="23AA7A3B"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xml:space="preserve">• monitorare le sperimentazioni NGT </w:t>
      </w:r>
      <w:r w:rsidR="00C96155" w:rsidRPr="002E2404">
        <w:rPr>
          <w:rFonts w:ascii="Times New Roman" w:hAnsi="Times New Roman" w:cs="Times New Roman"/>
          <w:sz w:val="24"/>
          <w:szCs w:val="24"/>
        </w:rPr>
        <w:t xml:space="preserve">eventualmente </w:t>
      </w:r>
      <w:r w:rsidRPr="002E2404">
        <w:rPr>
          <w:rFonts w:ascii="Times New Roman" w:hAnsi="Times New Roman" w:cs="Times New Roman"/>
          <w:sz w:val="24"/>
          <w:szCs w:val="24"/>
        </w:rPr>
        <w:t>autorizzate nel territorio e nelle zone limitrofe e riferire al Consiglio Comunale;</w:t>
      </w:r>
    </w:p>
    <w:p w14:paraId="6864CF49"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lastRenderedPageBreak/>
        <w:t>• avviare campagne di educazione alimentare per il consumo di prodotti tradizionali, biologici e di qualità;</w:t>
      </w:r>
    </w:p>
    <w:p w14:paraId="7E710AFE" w14:textId="77777777" w:rsidR="004C7FC1" w:rsidRPr="002E2404" w:rsidRDefault="002A5745">
      <w:pPr>
        <w:spacing w:after="100"/>
        <w:ind w:left="980" w:hanging="360"/>
        <w:rPr>
          <w:rFonts w:ascii="Times New Roman" w:hAnsi="Times New Roman" w:cs="Times New Roman"/>
          <w:sz w:val="24"/>
          <w:szCs w:val="24"/>
        </w:rPr>
      </w:pPr>
      <w:r w:rsidRPr="002E2404">
        <w:rPr>
          <w:rFonts w:ascii="Times New Roman" w:hAnsi="Times New Roman" w:cs="Times New Roman"/>
          <w:sz w:val="24"/>
          <w:szCs w:val="24"/>
        </w:rPr>
        <w:t>• promuovere i prodotti locali e le filiere «OGM/NGT free» attraverso iniziative di comunicazione pubblica.</w:t>
      </w:r>
    </w:p>
    <w:p w14:paraId="51BFAC8E" w14:textId="77777777" w:rsidR="004C7FC1" w:rsidRPr="002E2404" w:rsidRDefault="002A5745">
      <w:pPr>
        <w:pStyle w:val="Paragrafoelenco"/>
        <w:numPr>
          <w:ilvl w:val="0"/>
          <w:numId w:val="2"/>
        </w:numPr>
        <w:spacing w:after="280"/>
        <w:rPr>
          <w:rFonts w:ascii="Times New Roman" w:hAnsi="Times New Roman" w:cs="Times New Roman"/>
          <w:sz w:val="24"/>
          <w:szCs w:val="24"/>
        </w:rPr>
      </w:pPr>
      <w:r w:rsidRPr="002E2404">
        <w:rPr>
          <w:rFonts w:ascii="Times New Roman" w:hAnsi="Times New Roman" w:cs="Times New Roman"/>
          <w:b/>
          <w:bCs/>
          <w:sz w:val="24"/>
          <w:szCs w:val="24"/>
        </w:rPr>
        <w:t xml:space="preserve">Esecutività immediata. </w:t>
      </w:r>
      <w:r w:rsidRPr="002E2404">
        <w:rPr>
          <w:rFonts w:ascii="Times New Roman" w:hAnsi="Times New Roman" w:cs="Times New Roman"/>
          <w:sz w:val="24"/>
          <w:szCs w:val="24"/>
        </w:rPr>
        <w:t>Di dichiarare la presente deliberazione immediatamente eseguibile, a seguito di separata unanime votazione, ai sensi dell'art. 134, comma 4, del D.Lgs. 267/2000 (TUEL).</w:t>
      </w:r>
    </w:p>
    <w:p w14:paraId="414BAE36" w14:textId="77777777" w:rsidR="004C7FC1" w:rsidRPr="002E2404" w:rsidRDefault="002A5745">
      <w:pPr>
        <w:spacing w:after="160"/>
        <w:rPr>
          <w:rFonts w:ascii="Times New Roman" w:hAnsi="Times New Roman" w:cs="Times New Roman"/>
          <w:sz w:val="24"/>
          <w:szCs w:val="24"/>
        </w:rPr>
      </w:pPr>
      <w:r w:rsidRPr="002E2404">
        <w:rPr>
          <w:rFonts w:ascii="Times New Roman" w:hAnsi="Times New Roman" w:cs="Times New Roman"/>
          <w:sz w:val="24"/>
          <w:szCs w:val="24"/>
        </w:rPr>
        <w:t>La presente deliberazione viene letta, approvata e sottoscritta.</w:t>
      </w:r>
    </w:p>
    <w:p w14:paraId="0F67134E" w14:textId="77777777" w:rsidR="004C7FC1" w:rsidRPr="002E2404" w:rsidRDefault="002A5745">
      <w:pPr>
        <w:spacing w:after="400"/>
        <w:rPr>
          <w:rFonts w:ascii="Times New Roman" w:hAnsi="Times New Roman" w:cs="Times New Roman"/>
          <w:sz w:val="24"/>
          <w:szCs w:val="24"/>
        </w:rPr>
      </w:pPr>
      <w:r w:rsidRPr="002E2404">
        <w:rPr>
          <w:rFonts w:ascii="Times New Roman" w:hAnsi="Times New Roman" w:cs="Times New Roman"/>
          <w:sz w:val="24"/>
          <w:szCs w:val="24"/>
        </w:rPr>
        <w:t>……………………………, lì …………………………… 2026</w:t>
      </w:r>
    </w:p>
    <w:p w14:paraId="005C47F8" w14:textId="77777777" w:rsidR="004C7FC1" w:rsidRPr="002E2404" w:rsidRDefault="002A5745">
      <w:pPr>
        <w:spacing w:after="80"/>
        <w:rPr>
          <w:rFonts w:ascii="Times New Roman" w:hAnsi="Times New Roman" w:cs="Times New Roman"/>
          <w:sz w:val="24"/>
          <w:szCs w:val="24"/>
        </w:rPr>
      </w:pPr>
      <w:r w:rsidRPr="002E2404">
        <w:rPr>
          <w:rFonts w:ascii="Times New Roman" w:hAnsi="Times New Roman" w:cs="Times New Roman"/>
          <w:sz w:val="24"/>
          <w:szCs w:val="24"/>
        </w:rPr>
        <w:t>Il Presidente del Consiglio / Il Sindaco: ………………………………………</w:t>
      </w:r>
    </w:p>
    <w:p w14:paraId="6F41A425" w14:textId="77777777" w:rsidR="004C7FC1" w:rsidRPr="002E2404" w:rsidRDefault="002A5745">
      <w:pPr>
        <w:spacing w:after="80"/>
        <w:rPr>
          <w:rFonts w:ascii="Times New Roman" w:hAnsi="Times New Roman" w:cs="Times New Roman"/>
          <w:sz w:val="24"/>
          <w:szCs w:val="24"/>
        </w:rPr>
      </w:pPr>
      <w:r w:rsidRPr="002E2404">
        <w:rPr>
          <w:rFonts w:ascii="Times New Roman" w:hAnsi="Times New Roman" w:cs="Times New Roman"/>
          <w:sz w:val="24"/>
          <w:szCs w:val="24"/>
        </w:rPr>
        <w:t>Il Segretario Comunale: ………………………………………………………………</w:t>
      </w:r>
    </w:p>
    <w:p w14:paraId="44432258" w14:textId="2A0F865F" w:rsidR="004C7FC1" w:rsidRPr="002E2404" w:rsidRDefault="002A5745">
      <w:pPr>
        <w:spacing w:before="400" w:after="80"/>
        <w:rPr>
          <w:rFonts w:ascii="Times New Roman" w:hAnsi="Times New Roman" w:cs="Times New Roman"/>
          <w:sz w:val="24"/>
          <w:szCs w:val="24"/>
        </w:rPr>
      </w:pPr>
      <w:r w:rsidRPr="002E2404">
        <w:rPr>
          <w:rFonts w:ascii="Times New Roman" w:hAnsi="Times New Roman" w:cs="Times New Roman"/>
          <w:sz w:val="24"/>
          <w:szCs w:val="24"/>
        </w:rPr>
        <w:t>———————————————————————————————————————</w:t>
      </w:r>
    </w:p>
    <w:p w14:paraId="5E89586B" w14:textId="77777777" w:rsidR="004C7FC1" w:rsidRPr="002E2404" w:rsidRDefault="002A5745">
      <w:pPr>
        <w:spacing w:after="60"/>
        <w:rPr>
          <w:rFonts w:ascii="Times New Roman" w:hAnsi="Times New Roman" w:cs="Times New Roman"/>
          <w:sz w:val="24"/>
          <w:szCs w:val="24"/>
        </w:rPr>
      </w:pPr>
      <w:r w:rsidRPr="002E2404">
        <w:rPr>
          <w:rFonts w:ascii="Times New Roman" w:hAnsi="Times New Roman" w:cs="Times New Roman"/>
          <w:b/>
          <w:bCs/>
          <w:sz w:val="24"/>
          <w:szCs w:val="24"/>
        </w:rPr>
        <w:t>NOTE DI RIFERIMENTO NORMATIVO E GIURISPRUDENZIALE</w:t>
      </w:r>
    </w:p>
    <w:p w14:paraId="5611E187" w14:textId="77777777" w:rsidR="004C7FC1" w:rsidRPr="00544F15" w:rsidRDefault="002A5745">
      <w:pPr>
        <w:spacing w:after="60"/>
        <w:rPr>
          <w:rFonts w:ascii="Times New Roman" w:hAnsi="Times New Roman" w:cs="Times New Roman"/>
          <w:sz w:val="24"/>
          <w:szCs w:val="24"/>
          <w:lang w:val="fr-FR"/>
        </w:rPr>
      </w:pPr>
      <w:r w:rsidRPr="002E2404">
        <w:rPr>
          <w:rFonts w:ascii="Times New Roman" w:hAnsi="Times New Roman" w:cs="Times New Roman"/>
          <w:sz w:val="24"/>
          <w:szCs w:val="24"/>
        </w:rPr>
        <w:t xml:space="preserve">Reg. (UE) 2026/… – Regolamento NGT adottato il 17 giugno 2026 (procedura 2023/0226(COD)); Dir. 2001/18/CE; D.Lgs. 224/2003; Reg. </w:t>
      </w:r>
      <w:r w:rsidRPr="00544F15">
        <w:rPr>
          <w:rFonts w:ascii="Times New Roman" w:hAnsi="Times New Roman" w:cs="Times New Roman"/>
          <w:sz w:val="24"/>
          <w:szCs w:val="24"/>
          <w:lang w:val="fr-FR"/>
        </w:rPr>
        <w:t>CE 1829 e 1830/2003; Reg. UE 2018/848; D.Lgs. 36/2023; D.Lgs. 267/2000; Dir. 98/44/CE.</w:t>
      </w:r>
    </w:p>
    <w:p w14:paraId="0705DE06" w14:textId="77777777" w:rsidR="004C7FC1" w:rsidRPr="00544F15" w:rsidRDefault="002A5745">
      <w:pPr>
        <w:spacing w:after="60"/>
        <w:rPr>
          <w:rFonts w:ascii="Times New Roman" w:hAnsi="Times New Roman" w:cs="Times New Roman"/>
          <w:sz w:val="24"/>
          <w:szCs w:val="24"/>
          <w:lang w:val="fr-FR"/>
        </w:rPr>
      </w:pPr>
      <w:r w:rsidRPr="00544F15">
        <w:rPr>
          <w:rFonts w:ascii="Times New Roman" w:hAnsi="Times New Roman" w:cs="Times New Roman"/>
          <w:sz w:val="24"/>
          <w:szCs w:val="24"/>
          <w:lang w:val="fr-FR"/>
        </w:rPr>
        <w:t>CGUE C-528/16 (25.7.2018, Confédération Paysanne); CGUE C-552/07 (17.2.2009, Commune de Sausheim); Corte Cost. n. 116/2006; Consiglio di Stato, sez. III, n. 1281/2013; TAR Lazio, sez. IIIQ, 2013.</w:t>
      </w:r>
    </w:p>
    <w:p w14:paraId="072347D4" w14:textId="77777777" w:rsidR="004C7FC1" w:rsidRPr="00544F15" w:rsidRDefault="002A5745">
      <w:pPr>
        <w:spacing w:after="60"/>
        <w:rPr>
          <w:rFonts w:ascii="Times New Roman" w:hAnsi="Times New Roman" w:cs="Times New Roman"/>
          <w:sz w:val="24"/>
          <w:szCs w:val="24"/>
          <w:lang w:val="fr-FR"/>
        </w:rPr>
      </w:pPr>
      <w:r w:rsidRPr="00544F15">
        <w:rPr>
          <w:rFonts w:ascii="Times New Roman" w:hAnsi="Times New Roman" w:cs="Times New Roman"/>
          <w:sz w:val="24"/>
          <w:szCs w:val="24"/>
          <w:lang w:val="fr-FR"/>
        </w:rPr>
        <w:t>Fonti scientifiche: BfN (Federal Agency for Nature Conservation, Germania), Frontiers in Genome Editing, 2024; ANSES (Francia); Center for Food Safety (USA); USDA.</w:t>
      </w:r>
    </w:p>
    <w:sectPr w:rsidR="004C7FC1" w:rsidRPr="00544F15">
      <w:pgSz w:w="11906" w:h="16838"/>
      <w:pgMar w:top="126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24950"/>
    <w:multiLevelType w:val="hybridMultilevel"/>
    <w:tmpl w:val="6D6AEA0A"/>
    <w:lvl w:ilvl="0" w:tplc="0DD06290">
      <w:start w:val="1"/>
      <w:numFmt w:val="bullet"/>
      <w:lvlText w:val="●"/>
      <w:lvlJc w:val="left"/>
      <w:pPr>
        <w:ind w:left="720" w:hanging="360"/>
      </w:pPr>
    </w:lvl>
    <w:lvl w:ilvl="1" w:tplc="C2B8887C">
      <w:start w:val="1"/>
      <w:numFmt w:val="bullet"/>
      <w:lvlText w:val="○"/>
      <w:lvlJc w:val="left"/>
      <w:pPr>
        <w:ind w:left="1440" w:hanging="360"/>
      </w:pPr>
    </w:lvl>
    <w:lvl w:ilvl="2" w:tplc="7ACC86E4">
      <w:start w:val="1"/>
      <w:numFmt w:val="bullet"/>
      <w:lvlText w:val="■"/>
      <w:lvlJc w:val="left"/>
      <w:pPr>
        <w:ind w:left="2160" w:hanging="360"/>
      </w:pPr>
    </w:lvl>
    <w:lvl w:ilvl="3" w:tplc="6A3841EA">
      <w:start w:val="1"/>
      <w:numFmt w:val="bullet"/>
      <w:lvlText w:val="●"/>
      <w:lvlJc w:val="left"/>
      <w:pPr>
        <w:ind w:left="2880" w:hanging="360"/>
      </w:pPr>
    </w:lvl>
    <w:lvl w:ilvl="4" w:tplc="020241F2">
      <w:start w:val="1"/>
      <w:numFmt w:val="bullet"/>
      <w:lvlText w:val="○"/>
      <w:lvlJc w:val="left"/>
      <w:pPr>
        <w:ind w:left="3600" w:hanging="360"/>
      </w:pPr>
    </w:lvl>
    <w:lvl w:ilvl="5" w:tplc="4FAE275E">
      <w:start w:val="1"/>
      <w:numFmt w:val="bullet"/>
      <w:lvlText w:val="■"/>
      <w:lvlJc w:val="left"/>
      <w:pPr>
        <w:ind w:left="4320" w:hanging="360"/>
      </w:pPr>
    </w:lvl>
    <w:lvl w:ilvl="6" w:tplc="977CDEEA">
      <w:start w:val="1"/>
      <w:numFmt w:val="bullet"/>
      <w:lvlText w:val="●"/>
      <w:lvlJc w:val="left"/>
      <w:pPr>
        <w:ind w:left="5040" w:hanging="360"/>
      </w:pPr>
    </w:lvl>
    <w:lvl w:ilvl="7" w:tplc="3EF0ED08">
      <w:start w:val="1"/>
      <w:numFmt w:val="bullet"/>
      <w:lvlText w:val="●"/>
      <w:lvlJc w:val="left"/>
      <w:pPr>
        <w:ind w:left="5760" w:hanging="360"/>
      </w:pPr>
    </w:lvl>
    <w:lvl w:ilvl="8" w:tplc="D77641E0">
      <w:start w:val="1"/>
      <w:numFmt w:val="bullet"/>
      <w:lvlText w:val="●"/>
      <w:lvlJc w:val="left"/>
      <w:pPr>
        <w:ind w:left="6480" w:hanging="360"/>
      </w:pPr>
    </w:lvl>
  </w:abstractNum>
  <w:abstractNum w:abstractNumId="1" w15:restartNumberingAfterBreak="0">
    <w:nsid w:val="7B9020F4"/>
    <w:multiLevelType w:val="hybridMultilevel"/>
    <w:tmpl w:val="B58086E2"/>
    <w:lvl w:ilvl="0" w:tplc="1F3807C6">
      <w:start w:val="1"/>
      <w:numFmt w:val="decimal"/>
      <w:lvlText w:val="%1."/>
      <w:lvlJc w:val="left"/>
      <w:pPr>
        <w:ind w:left="360" w:hanging="360"/>
      </w:pPr>
      <w:rPr>
        <w:rFonts w:ascii="Arial" w:eastAsia="Arial" w:hAnsi="Arial" w:cs="Arial"/>
        <w:b/>
        <w:bCs/>
        <w:sz w:val="22"/>
        <w:szCs w:val="22"/>
      </w:rPr>
    </w:lvl>
    <w:lvl w:ilvl="1" w:tplc="7D2C6B6A">
      <w:numFmt w:val="decimal"/>
      <w:lvlText w:val=""/>
      <w:lvlJc w:val="left"/>
    </w:lvl>
    <w:lvl w:ilvl="2" w:tplc="20386910">
      <w:numFmt w:val="decimal"/>
      <w:lvlText w:val=""/>
      <w:lvlJc w:val="left"/>
    </w:lvl>
    <w:lvl w:ilvl="3" w:tplc="EE360CF8">
      <w:numFmt w:val="decimal"/>
      <w:lvlText w:val=""/>
      <w:lvlJc w:val="left"/>
    </w:lvl>
    <w:lvl w:ilvl="4" w:tplc="C7408FD8">
      <w:numFmt w:val="decimal"/>
      <w:lvlText w:val=""/>
      <w:lvlJc w:val="left"/>
    </w:lvl>
    <w:lvl w:ilvl="5" w:tplc="B8C60940">
      <w:numFmt w:val="decimal"/>
      <w:lvlText w:val=""/>
      <w:lvlJc w:val="left"/>
    </w:lvl>
    <w:lvl w:ilvl="6" w:tplc="26784804">
      <w:numFmt w:val="decimal"/>
      <w:lvlText w:val=""/>
      <w:lvlJc w:val="left"/>
    </w:lvl>
    <w:lvl w:ilvl="7" w:tplc="47F4AFB4">
      <w:numFmt w:val="decimal"/>
      <w:lvlText w:val=""/>
      <w:lvlJc w:val="left"/>
    </w:lvl>
    <w:lvl w:ilvl="8" w:tplc="0CFC8536">
      <w:numFmt w:val="decimal"/>
      <w:lvlText w:val=""/>
      <w:lvlJc w:val="left"/>
    </w:lvl>
  </w:abstractNum>
  <w:num w:numId="1" w16cid:durableId="1718430592">
    <w:abstractNumId w:val="0"/>
    <w:lvlOverride w:ilvl="0">
      <w:startOverride w:val="1"/>
    </w:lvlOverride>
  </w:num>
  <w:num w:numId="2" w16cid:durableId="2951100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C1"/>
    <w:rsid w:val="0010206F"/>
    <w:rsid w:val="00127A02"/>
    <w:rsid w:val="00247F40"/>
    <w:rsid w:val="002A5745"/>
    <w:rsid w:val="002E2404"/>
    <w:rsid w:val="00304694"/>
    <w:rsid w:val="00330CFA"/>
    <w:rsid w:val="004224B9"/>
    <w:rsid w:val="004C7FC1"/>
    <w:rsid w:val="00544F15"/>
    <w:rsid w:val="00567578"/>
    <w:rsid w:val="006C621B"/>
    <w:rsid w:val="00713219"/>
    <w:rsid w:val="00746332"/>
    <w:rsid w:val="009034C6"/>
    <w:rsid w:val="009A54C6"/>
    <w:rsid w:val="00B666F0"/>
    <w:rsid w:val="00BA287E"/>
    <w:rsid w:val="00C5501B"/>
    <w:rsid w:val="00C96155"/>
    <w:rsid w:val="00DD7203"/>
    <w:rsid w:val="00ED6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51D0"/>
  <w15:docId w15:val="{2C39EEC9-735B-44EF-BFAF-00EB75EE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character" w:styleId="Rimandocommento">
    <w:name w:val="annotation reference"/>
    <w:basedOn w:val="Carpredefinitoparagrafo"/>
    <w:uiPriority w:val="99"/>
    <w:semiHidden/>
    <w:unhideWhenUsed/>
    <w:rsid w:val="00C96155"/>
    <w:rPr>
      <w:sz w:val="16"/>
      <w:szCs w:val="16"/>
    </w:rPr>
  </w:style>
  <w:style w:type="paragraph" w:styleId="Testocommento">
    <w:name w:val="annotation text"/>
    <w:basedOn w:val="Normale"/>
    <w:link w:val="TestocommentoCarattere"/>
    <w:uiPriority w:val="99"/>
    <w:unhideWhenUsed/>
    <w:rsid w:val="00C96155"/>
    <w:rPr>
      <w:sz w:val="20"/>
      <w:szCs w:val="20"/>
    </w:rPr>
  </w:style>
  <w:style w:type="character" w:customStyle="1" w:styleId="TestocommentoCarattere">
    <w:name w:val="Testo commento Carattere"/>
    <w:basedOn w:val="Carpredefinitoparagrafo"/>
    <w:link w:val="Testocommento"/>
    <w:uiPriority w:val="99"/>
    <w:rsid w:val="00C96155"/>
    <w:rPr>
      <w:sz w:val="20"/>
      <w:szCs w:val="20"/>
    </w:rPr>
  </w:style>
  <w:style w:type="paragraph" w:styleId="Soggettocommento">
    <w:name w:val="annotation subject"/>
    <w:basedOn w:val="Testocommento"/>
    <w:next w:val="Testocommento"/>
    <w:link w:val="SoggettocommentoCarattere"/>
    <w:uiPriority w:val="99"/>
    <w:semiHidden/>
    <w:unhideWhenUsed/>
    <w:rsid w:val="00C96155"/>
    <w:rPr>
      <w:b/>
      <w:bCs/>
    </w:rPr>
  </w:style>
  <w:style w:type="character" w:customStyle="1" w:styleId="SoggettocommentoCarattere">
    <w:name w:val="Soggetto commento Carattere"/>
    <w:basedOn w:val="TestocommentoCarattere"/>
    <w:link w:val="Soggettocommento"/>
    <w:uiPriority w:val="99"/>
    <w:semiHidden/>
    <w:rsid w:val="00C96155"/>
    <w:rPr>
      <w:b/>
      <w:bCs/>
      <w:sz w:val="20"/>
      <w:szCs w:val="20"/>
    </w:rPr>
  </w:style>
  <w:style w:type="paragraph" w:styleId="Testofumetto">
    <w:name w:val="Balloon Text"/>
    <w:basedOn w:val="Normale"/>
    <w:link w:val="TestofumettoCarattere"/>
    <w:uiPriority w:val="99"/>
    <w:semiHidden/>
    <w:unhideWhenUsed/>
    <w:rsid w:val="002E240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2404"/>
    <w:rPr>
      <w:rFonts w:ascii="Segoe UI" w:hAnsi="Segoe UI" w:cs="Segoe UI"/>
      <w:sz w:val="18"/>
      <w:szCs w:val="18"/>
    </w:rPr>
  </w:style>
  <w:style w:type="paragraph" w:styleId="Revisione">
    <w:name w:val="Revision"/>
    <w:hidden/>
    <w:uiPriority w:val="99"/>
    <w:semiHidden/>
    <w:rsid w:val="00C5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9224-74DB-4819-8985-D0B5151E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2706</Words>
  <Characters>15429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Francesco Paniè</cp:lastModifiedBy>
  <cp:revision>4</cp:revision>
  <dcterms:created xsi:type="dcterms:W3CDTF">2026-06-22T12:07:00Z</dcterms:created>
  <dcterms:modified xsi:type="dcterms:W3CDTF">2026-06-30T11:07:00Z</dcterms:modified>
</cp:coreProperties>
</file>